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654C7C10" w:rsidR="00E204A5" w:rsidRPr="000328BA" w:rsidRDefault="00160D1F">
      <w:pPr>
        <w:shd w:val="clear" w:color="auto" w:fill="FFD966" w:themeFill="accent4" w:themeFillTint="99"/>
        <w:rPr>
          <w:rFonts w:ascii="Calibri" w:hAnsi="Calibri" w:cs="Arial"/>
          <w:b/>
          <w:sz w:val="24"/>
        </w:rPr>
      </w:pPr>
      <w:proofErr w:type="spellStart"/>
      <w:r>
        <w:rPr>
          <w:rFonts w:ascii="Calibri" w:hAnsi="Calibri" w:cs="Arial"/>
          <w:b/>
          <w:sz w:val="24"/>
        </w:rPr>
        <w:t>Bedside</w:t>
      </w:r>
      <w:proofErr w:type="spellEnd"/>
      <w:r>
        <w:rPr>
          <w:rFonts w:ascii="Calibri" w:hAnsi="Calibri" w:cs="Arial"/>
          <w:b/>
          <w:sz w:val="24"/>
        </w:rPr>
        <w:t xml:space="preserve"> EEG monitorace </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pPr w:leftFromText="141" w:rightFromText="141" w:vertAnchor="text" w:tblpY="1"/>
        <w:tblOverlap w:val="never"/>
        <w:tblW w:w="9498" w:type="dxa"/>
        <w:tblLayout w:type="fixed"/>
        <w:tblLook w:val="04A0" w:firstRow="1" w:lastRow="0" w:firstColumn="1" w:lastColumn="0" w:noHBand="0" w:noVBand="1"/>
      </w:tblPr>
      <w:tblGrid>
        <w:gridCol w:w="5100"/>
        <w:gridCol w:w="1559"/>
        <w:gridCol w:w="2839"/>
      </w:tblGrid>
      <w:tr w:rsidR="006E27FD" w14:paraId="110CD215" w14:textId="77777777" w:rsidTr="000328BA">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8" w:type="dxa"/>
            <w:gridSpan w:val="2"/>
            <w:shd w:val="clear" w:color="auto" w:fill="BDD6EE" w:themeFill="accent1" w:themeFillTint="66"/>
            <w:vAlign w:val="center"/>
          </w:tcPr>
          <w:p w14:paraId="627A8352" w14:textId="54B497E7" w:rsidR="006E27FD" w:rsidRPr="00160D1F" w:rsidRDefault="00160D1F" w:rsidP="00160D1F">
            <w:pPr>
              <w:rPr>
                <w:rFonts w:asciiTheme="minorHAnsi" w:hAnsiTheme="minorHAnsi"/>
                <w:b/>
                <w:sz w:val="22"/>
              </w:rPr>
            </w:pPr>
            <w:proofErr w:type="spellStart"/>
            <w:r w:rsidRPr="00160D1F">
              <w:rPr>
                <w:rFonts w:asciiTheme="minorHAnsi" w:hAnsiTheme="minorHAnsi"/>
                <w:b/>
                <w:sz w:val="22"/>
              </w:rPr>
              <w:t>Bedside</w:t>
            </w:r>
            <w:proofErr w:type="spellEnd"/>
            <w:r w:rsidRPr="00160D1F">
              <w:rPr>
                <w:rFonts w:asciiTheme="minorHAnsi" w:hAnsiTheme="minorHAnsi"/>
                <w:b/>
                <w:sz w:val="22"/>
              </w:rPr>
              <w:t xml:space="preserve"> EEG monitorace</w:t>
            </w:r>
            <w:r>
              <w:rPr>
                <w:rFonts w:asciiTheme="minorHAnsi" w:hAnsiTheme="minorHAnsi"/>
                <w:b/>
                <w:sz w:val="22"/>
              </w:rPr>
              <w:t xml:space="preserve"> </w:t>
            </w:r>
            <w:r w:rsidR="00F66539" w:rsidRPr="00160D1F">
              <w:rPr>
                <w:rFonts w:asciiTheme="minorHAnsi" w:hAnsiTheme="minorHAnsi"/>
                <w:b/>
                <w:sz w:val="22"/>
              </w:rPr>
              <w:t>–</w:t>
            </w:r>
            <w:r w:rsidR="006E27FD" w:rsidRPr="00160D1F">
              <w:rPr>
                <w:rFonts w:asciiTheme="minorHAnsi" w:hAnsiTheme="minorHAnsi"/>
                <w:b/>
                <w:sz w:val="22"/>
              </w:rPr>
              <w:t xml:space="preserve"> 1</w:t>
            </w:r>
            <w:r w:rsidR="00F66539" w:rsidRPr="00160D1F">
              <w:rPr>
                <w:rFonts w:asciiTheme="minorHAnsi" w:hAnsiTheme="minorHAnsi"/>
                <w:b/>
                <w:sz w:val="22"/>
              </w:rPr>
              <w:t xml:space="preserve"> </w:t>
            </w:r>
            <w:r w:rsidR="006E27FD" w:rsidRPr="00160D1F">
              <w:rPr>
                <w:rFonts w:asciiTheme="minorHAnsi" w:hAnsiTheme="minorHAnsi"/>
                <w:b/>
                <w:sz w:val="22"/>
              </w:rPr>
              <w:t>ks</w:t>
            </w:r>
            <w:r w:rsidR="006E27FD">
              <w:rPr>
                <w:rFonts w:asciiTheme="minorHAnsi" w:hAnsiTheme="minorHAnsi"/>
                <w:b/>
                <w:bCs/>
                <w:sz w:val="28"/>
                <w:szCs w:val="28"/>
              </w:rPr>
              <w:t xml:space="preserve"> </w:t>
            </w:r>
          </w:p>
        </w:tc>
      </w:tr>
      <w:tr w:rsidR="006E27FD" w14:paraId="3EA8C5C6" w14:textId="77777777" w:rsidTr="000328BA">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839"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328BA" w14:paraId="0C3EB92E" w14:textId="77777777" w:rsidTr="000328BA">
        <w:trPr>
          <w:trHeight w:val="260"/>
        </w:trPr>
        <w:tc>
          <w:tcPr>
            <w:tcW w:w="9498" w:type="dxa"/>
            <w:gridSpan w:val="3"/>
            <w:shd w:val="clear" w:color="auto" w:fill="D9D9D9" w:themeFill="background1" w:themeFillShade="D9"/>
            <w:vAlign w:val="center"/>
          </w:tcPr>
          <w:p w14:paraId="2F6336EC" w14:textId="7579C55F" w:rsidR="000328BA" w:rsidRDefault="000328BA" w:rsidP="000328BA">
            <w:pPr>
              <w:rPr>
                <w:rFonts w:ascii="Calibri" w:hAnsi="Calibri" w:cs="Calibri"/>
                <w:color w:val="FF0000"/>
                <w:szCs w:val="20"/>
                <w:lang w:eastAsia="en-US"/>
              </w:rPr>
            </w:pPr>
            <w:r>
              <w:rPr>
                <w:rFonts w:ascii="MyriadPro-Regular" w:eastAsiaTheme="minorHAnsi" w:hAnsi="MyriadPro-Regular" w:cs="MyriadPro-Regular"/>
                <w:b/>
                <w:bCs/>
                <w:sz w:val="22"/>
                <w:szCs w:val="22"/>
                <w:lang w:eastAsia="en-US"/>
              </w:rPr>
              <w:t>1. Přenosný telemetrický záznamový systém EEG – tablet</w:t>
            </w:r>
          </w:p>
        </w:tc>
      </w:tr>
      <w:tr w:rsidR="000328BA" w14:paraId="45CF9964" w14:textId="77777777" w:rsidTr="000328BA">
        <w:trPr>
          <w:trHeight w:val="476"/>
        </w:trPr>
        <w:tc>
          <w:tcPr>
            <w:tcW w:w="5100" w:type="dxa"/>
          </w:tcPr>
          <w:p w14:paraId="17404781" w14:textId="1B571A5A"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32 kanálová EEG snímací hlavice s možností ukládání dat při výpadku bezdrátového</w:t>
            </w:r>
          </w:p>
          <w:p w14:paraId="159800BD" w14:textId="1803E626" w:rsidR="000328BA" w:rsidRDefault="000328BA" w:rsidP="000328BA">
            <w:pPr>
              <w:autoSpaceDE w:val="0"/>
              <w:autoSpaceDN w:val="0"/>
              <w:adjustRightInd w:val="0"/>
              <w:rPr>
                <w:rFonts w:ascii="MyriadPro-Regular" w:eastAsiaTheme="minorHAnsi" w:hAnsi="MyriadPro-Regular" w:cs="MyriadPro-Regular"/>
                <w:sz w:val="22"/>
                <w:szCs w:val="22"/>
                <w:lang w:eastAsia="en-US"/>
              </w:rPr>
            </w:pPr>
            <w:r>
              <w:rPr>
                <w:rFonts w:ascii="MyriadPro-Regular" w:eastAsiaTheme="minorHAnsi" w:hAnsi="MyriadPro-Regular" w:cs="MyriadPro-Regular"/>
                <w:sz w:val="22"/>
                <w:szCs w:val="22"/>
                <w:lang w:eastAsia="en-US"/>
              </w:rPr>
              <w:t>spojení</w:t>
            </w:r>
          </w:p>
        </w:tc>
        <w:tc>
          <w:tcPr>
            <w:tcW w:w="1559" w:type="dxa"/>
          </w:tcPr>
          <w:p w14:paraId="03611114" w14:textId="68A101D0"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tcPr>
          <w:p w14:paraId="3DD8EB81" w14:textId="03CF89BE"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57297B9E" w14:textId="77777777" w:rsidTr="000328BA">
        <w:trPr>
          <w:trHeight w:val="476"/>
        </w:trPr>
        <w:tc>
          <w:tcPr>
            <w:tcW w:w="5100" w:type="dxa"/>
            <w:hideMark/>
          </w:tcPr>
          <w:p w14:paraId="55AA0DB8"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Calibri" w:hAnsi="Calibri"/>
                <w:sz w:val="22"/>
                <w:szCs w:val="22"/>
                <w:lang w:eastAsia="en-US"/>
              </w:rPr>
              <w:t xml:space="preserve">bezdrátové použití (baterie, vysílač a přijímač)  </w:t>
            </w:r>
          </w:p>
        </w:tc>
        <w:tc>
          <w:tcPr>
            <w:tcW w:w="1559" w:type="dxa"/>
            <w:hideMark/>
          </w:tcPr>
          <w:p w14:paraId="77DD3291"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7BE9E600"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5979BF95" w14:textId="77777777" w:rsidTr="000328BA">
        <w:trPr>
          <w:trHeight w:val="476"/>
        </w:trPr>
        <w:tc>
          <w:tcPr>
            <w:tcW w:w="5100" w:type="dxa"/>
            <w:hideMark/>
          </w:tcPr>
          <w:p w14:paraId="6D7852B5"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záznam videa v naprosté tmě s vestavěným výkonným IR LED světlem a s automatickou aktivací nočního režimu</w:t>
            </w:r>
          </w:p>
        </w:tc>
        <w:tc>
          <w:tcPr>
            <w:tcW w:w="1559" w:type="dxa"/>
            <w:hideMark/>
          </w:tcPr>
          <w:p w14:paraId="3C09E2B0"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624A5A5E"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4D1AA800" w14:textId="77777777" w:rsidTr="000328BA">
        <w:trPr>
          <w:trHeight w:val="476"/>
        </w:trPr>
        <w:tc>
          <w:tcPr>
            <w:tcW w:w="5100" w:type="dxa"/>
            <w:hideMark/>
          </w:tcPr>
          <w:p w14:paraId="2EB7A580"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min. 72 hodin nepřetržitého nahrávání se synchronizovaným videem (min. 96 hodin bez videa)</w:t>
            </w:r>
          </w:p>
        </w:tc>
        <w:tc>
          <w:tcPr>
            <w:tcW w:w="1559" w:type="dxa"/>
            <w:hideMark/>
          </w:tcPr>
          <w:p w14:paraId="5654E854"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1261CDA3"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5F82AEAE" w14:textId="77777777" w:rsidTr="000328BA">
        <w:trPr>
          <w:trHeight w:val="476"/>
        </w:trPr>
        <w:tc>
          <w:tcPr>
            <w:tcW w:w="5100" w:type="dxa"/>
            <w:hideMark/>
          </w:tcPr>
          <w:p w14:paraId="12ABF446"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možnost zámku obrazovky </w:t>
            </w:r>
          </w:p>
        </w:tc>
        <w:tc>
          <w:tcPr>
            <w:tcW w:w="1559" w:type="dxa"/>
            <w:hideMark/>
          </w:tcPr>
          <w:p w14:paraId="69C6E6F6"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0E975ACA"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684B3820" w14:textId="77777777" w:rsidTr="000328BA">
        <w:trPr>
          <w:trHeight w:val="476"/>
        </w:trPr>
        <w:tc>
          <w:tcPr>
            <w:tcW w:w="5100" w:type="dxa"/>
            <w:hideMark/>
          </w:tcPr>
          <w:p w14:paraId="33742500"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možnost ovládání </w:t>
            </w:r>
            <w:proofErr w:type="spellStart"/>
            <w:r>
              <w:rPr>
                <w:rFonts w:ascii="MyriadPro-Regular" w:eastAsiaTheme="minorHAnsi" w:hAnsi="MyriadPro-Regular" w:cs="MyriadPro-Regular"/>
                <w:sz w:val="22"/>
                <w:szCs w:val="22"/>
                <w:lang w:eastAsia="en-US"/>
              </w:rPr>
              <w:t>fotostimulace</w:t>
            </w:r>
            <w:proofErr w:type="spellEnd"/>
            <w:r>
              <w:rPr>
                <w:rFonts w:ascii="MyriadPro-Regular" w:eastAsiaTheme="minorHAnsi" w:hAnsi="MyriadPro-Regular" w:cs="MyriadPro-Regular"/>
                <w:sz w:val="22"/>
                <w:szCs w:val="22"/>
                <w:lang w:eastAsia="en-US"/>
              </w:rPr>
              <w:t xml:space="preserve"> a ukládání markeru</w:t>
            </w:r>
          </w:p>
        </w:tc>
        <w:tc>
          <w:tcPr>
            <w:tcW w:w="1559" w:type="dxa"/>
            <w:hideMark/>
          </w:tcPr>
          <w:p w14:paraId="09BC3809"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14BE6C3E"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245FA07A" w14:textId="77777777" w:rsidTr="000328BA">
        <w:trPr>
          <w:trHeight w:val="476"/>
        </w:trPr>
        <w:tc>
          <w:tcPr>
            <w:tcW w:w="5100" w:type="dxa"/>
            <w:hideMark/>
          </w:tcPr>
          <w:p w14:paraId="28B506E8"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umožňuje provoz na dobíjecí baterii v délce min. 20 hod (v bezdrátovém režimu i v režimu ukládání dat na paměťové médium)</w:t>
            </w:r>
          </w:p>
        </w:tc>
        <w:tc>
          <w:tcPr>
            <w:tcW w:w="1559" w:type="dxa"/>
            <w:hideMark/>
          </w:tcPr>
          <w:p w14:paraId="43D6BF9B"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20818889"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4737CD7A" w14:textId="77777777" w:rsidTr="000328BA">
        <w:trPr>
          <w:trHeight w:val="476"/>
        </w:trPr>
        <w:tc>
          <w:tcPr>
            <w:tcW w:w="5100" w:type="dxa"/>
            <w:hideMark/>
          </w:tcPr>
          <w:p w14:paraId="039C1E59"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možnost výměny baterie za provozu uživatelem bez výpadku natáčených dat</w:t>
            </w:r>
          </w:p>
        </w:tc>
        <w:tc>
          <w:tcPr>
            <w:tcW w:w="1559" w:type="dxa"/>
            <w:hideMark/>
          </w:tcPr>
          <w:p w14:paraId="1744EE63"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4A7A0C54"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5C676086" w14:textId="77777777" w:rsidTr="000328BA">
        <w:trPr>
          <w:trHeight w:val="476"/>
        </w:trPr>
        <w:tc>
          <w:tcPr>
            <w:tcW w:w="5100" w:type="dxa"/>
            <w:hideMark/>
          </w:tcPr>
          <w:p w14:paraId="42D2AECA"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lastRenderedPageBreak/>
              <w:t>monitorování stavu impedance a ukládaní hodnoty stavu impedancí pro dodatečnou kontrolu během vyhodnocení záznamu</w:t>
            </w:r>
          </w:p>
        </w:tc>
        <w:tc>
          <w:tcPr>
            <w:tcW w:w="1559" w:type="dxa"/>
            <w:hideMark/>
          </w:tcPr>
          <w:p w14:paraId="278863AF"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3665046B"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4AA3889F" w14:textId="77777777" w:rsidTr="000328BA">
        <w:trPr>
          <w:trHeight w:val="476"/>
        </w:trPr>
        <w:tc>
          <w:tcPr>
            <w:tcW w:w="5100" w:type="dxa"/>
            <w:hideMark/>
          </w:tcPr>
          <w:p w14:paraId="04EEE4DA"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možnost připojení k WIFI</w:t>
            </w:r>
          </w:p>
        </w:tc>
        <w:tc>
          <w:tcPr>
            <w:tcW w:w="1559" w:type="dxa"/>
            <w:hideMark/>
          </w:tcPr>
          <w:p w14:paraId="5BCE2F73"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0FFF27B8"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63017466" w14:textId="77777777" w:rsidTr="000328BA">
        <w:trPr>
          <w:trHeight w:val="476"/>
        </w:trPr>
        <w:tc>
          <w:tcPr>
            <w:tcW w:w="5100" w:type="dxa"/>
            <w:hideMark/>
          </w:tcPr>
          <w:p w14:paraId="7EBD203D" w14:textId="77777777" w:rsidR="000328BA" w:rsidRDefault="000328BA" w:rsidP="000328BA">
            <w:pPr>
              <w:autoSpaceDE w:val="0"/>
              <w:autoSpaceDN w:val="0"/>
              <w:adjustRightInd w:val="0"/>
              <w:rPr>
                <w:rFonts w:ascii="FreeSansOblique" w:eastAsiaTheme="minorHAnsi" w:hAnsi="FreeSansOblique" w:cs="FreeSansOblique"/>
                <w:i/>
                <w:iCs/>
                <w:sz w:val="18"/>
                <w:szCs w:val="18"/>
                <w:lang w:eastAsia="en-US"/>
              </w:rPr>
            </w:pPr>
            <w:r>
              <w:rPr>
                <w:rFonts w:ascii="MyriadPro-Regular" w:eastAsiaTheme="minorHAnsi" w:hAnsi="MyriadPro-Regular" w:cs="MyriadPro-Regular"/>
                <w:sz w:val="22"/>
                <w:szCs w:val="22"/>
                <w:lang w:eastAsia="en-US"/>
              </w:rPr>
              <w:t xml:space="preserve">software pro natáčení, vyhodnocení a zálohování EEG záznamu vč. </w:t>
            </w:r>
            <w:proofErr w:type="spellStart"/>
            <w:r>
              <w:rPr>
                <w:rFonts w:ascii="MyriadPro-Regular" w:eastAsiaTheme="minorHAnsi" w:hAnsi="MyriadPro-Regular" w:cs="MyriadPro-Regular"/>
                <w:sz w:val="22"/>
                <w:szCs w:val="22"/>
                <w:lang w:eastAsia="en-US"/>
              </w:rPr>
              <w:t>brainmappingu</w:t>
            </w:r>
            <w:proofErr w:type="spellEnd"/>
            <w:r>
              <w:rPr>
                <w:rFonts w:ascii="MyriadPro-Regular" w:eastAsiaTheme="minorHAnsi" w:hAnsi="MyriadPro-Regular" w:cs="MyriadPro-Regular"/>
                <w:sz w:val="22"/>
                <w:szCs w:val="22"/>
                <w:lang w:eastAsia="en-US"/>
              </w:rPr>
              <w:t xml:space="preserve">, modul </w:t>
            </w:r>
            <w:proofErr w:type="spellStart"/>
            <w:r>
              <w:rPr>
                <w:rFonts w:ascii="MyriadPro-Regular" w:eastAsiaTheme="minorHAnsi" w:hAnsi="MyriadPro-Regular" w:cs="MyriadPro-Regular"/>
                <w:sz w:val="22"/>
                <w:szCs w:val="22"/>
                <w:lang w:eastAsia="en-US"/>
              </w:rPr>
              <w:t>aEEG</w:t>
            </w:r>
            <w:proofErr w:type="spellEnd"/>
          </w:p>
        </w:tc>
        <w:tc>
          <w:tcPr>
            <w:tcW w:w="1559" w:type="dxa"/>
            <w:hideMark/>
          </w:tcPr>
          <w:p w14:paraId="388AB441"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3C31F143"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32CF6432" w14:textId="77777777" w:rsidTr="000328BA">
        <w:trPr>
          <w:trHeight w:val="476"/>
        </w:trPr>
        <w:tc>
          <w:tcPr>
            <w:tcW w:w="5100" w:type="dxa"/>
            <w:hideMark/>
          </w:tcPr>
          <w:p w14:paraId="49DB5DD2"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možnost vzdáleného servisu natáčecí stanice</w:t>
            </w:r>
          </w:p>
        </w:tc>
        <w:tc>
          <w:tcPr>
            <w:tcW w:w="1559" w:type="dxa"/>
            <w:hideMark/>
          </w:tcPr>
          <w:p w14:paraId="7FAB2949"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645BDA37"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72AB3307" w14:textId="77777777" w:rsidTr="000328BA">
        <w:trPr>
          <w:trHeight w:val="476"/>
        </w:trPr>
        <w:tc>
          <w:tcPr>
            <w:tcW w:w="5100" w:type="dxa"/>
            <w:hideMark/>
          </w:tcPr>
          <w:p w14:paraId="5943A170" w14:textId="77777777" w:rsidR="000328BA" w:rsidRDefault="000328BA" w:rsidP="000328BA">
            <w:pPr>
              <w:autoSpaceDE w:val="0"/>
              <w:autoSpaceDN w:val="0"/>
              <w:adjustRightInd w:val="0"/>
              <w:rPr>
                <w:rFonts w:ascii="FreeSansOblique" w:eastAsiaTheme="minorHAnsi" w:hAnsi="FreeSansOblique" w:cs="FreeSansOblique"/>
                <w:i/>
                <w:iCs/>
                <w:sz w:val="18"/>
                <w:szCs w:val="18"/>
                <w:lang w:eastAsia="en-US"/>
              </w:rPr>
            </w:pPr>
            <w:r>
              <w:rPr>
                <w:rFonts w:ascii="MyriadPro-Regular" w:eastAsiaTheme="minorHAnsi" w:hAnsi="MyriadPro-Regular" w:cs="MyriadPro-Regular"/>
                <w:sz w:val="22"/>
                <w:szCs w:val="22"/>
                <w:lang w:eastAsia="en-US"/>
              </w:rPr>
              <w:t>napájecí adaptér, stativ, držák (trojnožka) a obal na tablet</w:t>
            </w:r>
          </w:p>
        </w:tc>
        <w:tc>
          <w:tcPr>
            <w:tcW w:w="1559" w:type="dxa"/>
            <w:hideMark/>
          </w:tcPr>
          <w:p w14:paraId="12952646"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7EEA0412"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52021493" w14:textId="77777777" w:rsidTr="000328BA">
        <w:trPr>
          <w:trHeight w:val="517"/>
        </w:trPr>
        <w:tc>
          <w:tcPr>
            <w:tcW w:w="5100" w:type="dxa"/>
            <w:hideMark/>
          </w:tcPr>
          <w:p w14:paraId="2CD18390"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lang w:eastAsia="en-US"/>
              </w:rPr>
              <w:t>Řídící PC – Tablet displej min. 10“, min. 8 GB RAM, min. Windows 10, 128 GB disk</w:t>
            </w:r>
          </w:p>
        </w:tc>
        <w:tc>
          <w:tcPr>
            <w:tcW w:w="1559" w:type="dxa"/>
            <w:hideMark/>
          </w:tcPr>
          <w:p w14:paraId="7CB0F411"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2B901854"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4F1BECD3" w14:textId="77777777" w:rsidTr="000328BA">
        <w:trPr>
          <w:trHeight w:val="223"/>
        </w:trPr>
        <w:tc>
          <w:tcPr>
            <w:tcW w:w="9498" w:type="dxa"/>
            <w:gridSpan w:val="3"/>
            <w:shd w:val="clear" w:color="auto" w:fill="D9D9D9" w:themeFill="background1" w:themeFillShade="D9"/>
            <w:vAlign w:val="center"/>
          </w:tcPr>
          <w:p w14:paraId="5B1BA87F" w14:textId="43DA3BCE" w:rsidR="000328BA" w:rsidRDefault="000328BA" w:rsidP="000328BA">
            <w:pPr>
              <w:rPr>
                <w:rFonts w:ascii="Calibri" w:hAnsi="Calibri" w:cs="Calibri"/>
                <w:color w:val="FF0000"/>
                <w:szCs w:val="20"/>
                <w:lang w:eastAsia="en-US"/>
              </w:rPr>
            </w:pPr>
            <w:r>
              <w:rPr>
                <w:rFonts w:ascii="MyriadPro-Regular" w:eastAsiaTheme="minorHAnsi" w:hAnsi="MyriadPro-Regular" w:cs="MyriadPro-Regular"/>
                <w:b/>
                <w:bCs/>
                <w:sz w:val="22"/>
                <w:lang w:eastAsia="en-US"/>
              </w:rPr>
              <w:t>2. EEG stacionární systém s modulem pro SEP pro ARO / JIP</w:t>
            </w:r>
          </w:p>
        </w:tc>
      </w:tr>
      <w:tr w:rsidR="000328BA" w14:paraId="5BE4EF8B" w14:textId="77777777" w:rsidTr="000328BA">
        <w:trPr>
          <w:trHeight w:val="551"/>
        </w:trPr>
        <w:tc>
          <w:tcPr>
            <w:tcW w:w="5100" w:type="dxa"/>
          </w:tcPr>
          <w:p w14:paraId="6F560A56"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32 kanálová EEG snímací hlavice s možností ukládání dat při výpadku bezdrátového</w:t>
            </w:r>
          </w:p>
          <w:p w14:paraId="5A5EED7E" w14:textId="52D76E97" w:rsidR="000328BA" w:rsidRDefault="000328BA" w:rsidP="000328BA">
            <w:pPr>
              <w:autoSpaceDE w:val="0"/>
              <w:autoSpaceDN w:val="0"/>
              <w:adjustRightInd w:val="0"/>
              <w:rPr>
                <w:rFonts w:ascii="MyriadPro-Regular" w:eastAsiaTheme="minorHAnsi" w:hAnsi="MyriadPro-Regular" w:cs="MyriadPro-Regular"/>
                <w:sz w:val="22"/>
                <w:szCs w:val="22"/>
                <w:lang w:eastAsia="en-US"/>
              </w:rPr>
            </w:pPr>
            <w:r>
              <w:rPr>
                <w:rFonts w:ascii="MyriadPro-Regular" w:eastAsiaTheme="minorHAnsi" w:hAnsi="MyriadPro-Regular" w:cs="MyriadPro-Regular"/>
                <w:sz w:val="22"/>
                <w:szCs w:val="22"/>
                <w:lang w:eastAsia="en-US"/>
              </w:rPr>
              <w:t>spojení</w:t>
            </w:r>
          </w:p>
        </w:tc>
        <w:tc>
          <w:tcPr>
            <w:tcW w:w="1559" w:type="dxa"/>
          </w:tcPr>
          <w:p w14:paraId="06C9EA45" w14:textId="2DBA7FAE"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tcPr>
          <w:p w14:paraId="0B2D1756" w14:textId="66C11478"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6D0BDDBE" w14:textId="77777777" w:rsidTr="000328BA">
        <w:trPr>
          <w:trHeight w:val="551"/>
        </w:trPr>
        <w:tc>
          <w:tcPr>
            <w:tcW w:w="5100" w:type="dxa"/>
            <w:hideMark/>
          </w:tcPr>
          <w:p w14:paraId="4048F307"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min. 72 hodin nepřetržitého nahrávání se synchronizovaným videem (min. 96 hodin bez videa)</w:t>
            </w:r>
          </w:p>
        </w:tc>
        <w:tc>
          <w:tcPr>
            <w:tcW w:w="1559" w:type="dxa"/>
            <w:hideMark/>
          </w:tcPr>
          <w:p w14:paraId="49A0339A"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21E86F8B"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0344AD67" w14:textId="77777777" w:rsidTr="000328BA">
        <w:trPr>
          <w:trHeight w:val="551"/>
        </w:trPr>
        <w:tc>
          <w:tcPr>
            <w:tcW w:w="5100" w:type="dxa"/>
            <w:hideMark/>
          </w:tcPr>
          <w:p w14:paraId="7B46AF57"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možnost ovládání </w:t>
            </w:r>
            <w:proofErr w:type="spellStart"/>
            <w:r>
              <w:rPr>
                <w:rFonts w:ascii="MyriadPro-Regular" w:eastAsiaTheme="minorHAnsi" w:hAnsi="MyriadPro-Regular" w:cs="MyriadPro-Regular"/>
                <w:sz w:val="22"/>
                <w:szCs w:val="22"/>
                <w:lang w:eastAsia="en-US"/>
              </w:rPr>
              <w:t>fotostimulace</w:t>
            </w:r>
            <w:proofErr w:type="spellEnd"/>
            <w:r>
              <w:rPr>
                <w:rFonts w:ascii="MyriadPro-Regular" w:eastAsiaTheme="minorHAnsi" w:hAnsi="MyriadPro-Regular" w:cs="MyriadPro-Regular"/>
                <w:sz w:val="22"/>
                <w:szCs w:val="22"/>
                <w:lang w:eastAsia="en-US"/>
              </w:rPr>
              <w:t xml:space="preserve"> a ukládání markeru</w:t>
            </w:r>
          </w:p>
        </w:tc>
        <w:tc>
          <w:tcPr>
            <w:tcW w:w="1559" w:type="dxa"/>
            <w:hideMark/>
          </w:tcPr>
          <w:p w14:paraId="61C19D68"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5BC081E9"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173024D9" w14:textId="77777777" w:rsidTr="000328BA">
        <w:trPr>
          <w:trHeight w:val="551"/>
        </w:trPr>
        <w:tc>
          <w:tcPr>
            <w:tcW w:w="5100" w:type="dxa"/>
            <w:hideMark/>
          </w:tcPr>
          <w:p w14:paraId="7CBCEF27"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umožňuje provoz na dobíjecí baterii v délce min. 20 hod (v bezdrátovém režimu i v režimu ukládání dat na paměťové médium)</w:t>
            </w:r>
          </w:p>
        </w:tc>
        <w:tc>
          <w:tcPr>
            <w:tcW w:w="1559" w:type="dxa"/>
            <w:hideMark/>
          </w:tcPr>
          <w:p w14:paraId="772FA7D9"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7A472A56"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53395405" w14:textId="77777777" w:rsidTr="000328BA">
        <w:trPr>
          <w:trHeight w:val="551"/>
        </w:trPr>
        <w:tc>
          <w:tcPr>
            <w:tcW w:w="5100" w:type="dxa"/>
            <w:hideMark/>
          </w:tcPr>
          <w:p w14:paraId="2D025932"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proofErr w:type="spellStart"/>
            <w:r>
              <w:rPr>
                <w:rFonts w:ascii="MyriadPro-Regular" w:eastAsiaTheme="minorHAnsi" w:hAnsi="MyriadPro-Regular" w:cs="MyriadPro-Regular"/>
                <w:sz w:val="22"/>
                <w:szCs w:val="22"/>
                <w:lang w:eastAsia="en-US"/>
              </w:rPr>
              <w:t>fotostimulační</w:t>
            </w:r>
            <w:proofErr w:type="spellEnd"/>
            <w:r>
              <w:rPr>
                <w:rFonts w:ascii="MyriadPro-Regular" w:eastAsiaTheme="minorHAnsi" w:hAnsi="MyriadPro-Regular" w:cs="MyriadPro-Regular"/>
                <w:sz w:val="22"/>
                <w:szCs w:val="22"/>
                <w:lang w:eastAsia="en-US"/>
              </w:rPr>
              <w:t xml:space="preserve"> lampa </w:t>
            </w:r>
            <w:proofErr w:type="gramStart"/>
            <w:r>
              <w:rPr>
                <w:rFonts w:ascii="MyriadPro-Regular" w:eastAsiaTheme="minorHAnsi" w:hAnsi="MyriadPro-Regular" w:cs="MyriadPro-Regular"/>
                <w:sz w:val="22"/>
                <w:szCs w:val="22"/>
                <w:lang w:eastAsia="en-US"/>
              </w:rPr>
              <w:t>( bílá</w:t>
            </w:r>
            <w:proofErr w:type="gramEnd"/>
            <w:r>
              <w:rPr>
                <w:rFonts w:ascii="MyriadPro-Regular" w:eastAsiaTheme="minorHAnsi" w:hAnsi="MyriadPro-Regular" w:cs="MyriadPro-Regular"/>
                <w:sz w:val="22"/>
                <w:szCs w:val="22"/>
                <w:lang w:eastAsia="en-US"/>
              </w:rPr>
              <w:t>/červená) držák, rameno</w:t>
            </w:r>
          </w:p>
        </w:tc>
        <w:tc>
          <w:tcPr>
            <w:tcW w:w="1559" w:type="dxa"/>
            <w:hideMark/>
          </w:tcPr>
          <w:p w14:paraId="4E24AE20"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7038EF18"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7DB4FFA8" w14:textId="77777777" w:rsidTr="000328BA">
        <w:trPr>
          <w:trHeight w:val="551"/>
        </w:trPr>
        <w:tc>
          <w:tcPr>
            <w:tcW w:w="5100" w:type="dxa"/>
            <w:hideMark/>
          </w:tcPr>
          <w:p w14:paraId="595917A9"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software pro natáčení, vyhodnocení a zálohování EEG záznamu vč. </w:t>
            </w:r>
            <w:proofErr w:type="spellStart"/>
            <w:r>
              <w:rPr>
                <w:rFonts w:ascii="MyriadPro-Regular" w:eastAsiaTheme="minorHAnsi" w:hAnsi="MyriadPro-Regular" w:cs="MyriadPro-Regular"/>
                <w:sz w:val="22"/>
                <w:szCs w:val="22"/>
                <w:lang w:eastAsia="en-US"/>
              </w:rPr>
              <w:t>brainmappingu</w:t>
            </w:r>
            <w:proofErr w:type="spellEnd"/>
          </w:p>
        </w:tc>
        <w:tc>
          <w:tcPr>
            <w:tcW w:w="1559" w:type="dxa"/>
            <w:hideMark/>
          </w:tcPr>
          <w:p w14:paraId="49ED920D"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3A08C687"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63C6D43A" w14:textId="77777777" w:rsidTr="000328BA">
        <w:trPr>
          <w:trHeight w:val="551"/>
        </w:trPr>
        <w:tc>
          <w:tcPr>
            <w:tcW w:w="5100" w:type="dxa"/>
            <w:hideMark/>
          </w:tcPr>
          <w:p w14:paraId="23C0CF56"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pojízdní stolek s ramenem pro snímací jednotku</w:t>
            </w:r>
          </w:p>
        </w:tc>
        <w:tc>
          <w:tcPr>
            <w:tcW w:w="1559" w:type="dxa"/>
            <w:hideMark/>
          </w:tcPr>
          <w:p w14:paraId="36DEE119"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1F6E412B"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795C6B8D" w14:textId="77777777" w:rsidTr="000328BA">
        <w:trPr>
          <w:trHeight w:val="551"/>
        </w:trPr>
        <w:tc>
          <w:tcPr>
            <w:tcW w:w="5100" w:type="dxa"/>
            <w:hideMark/>
          </w:tcPr>
          <w:p w14:paraId="5DC8AB75"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lang w:eastAsia="en-US"/>
              </w:rPr>
              <w:t xml:space="preserve">řídící PC </w:t>
            </w:r>
            <w:r>
              <w:rPr>
                <w:rFonts w:ascii="MyriadPro-Regular" w:eastAsiaTheme="minorHAnsi" w:hAnsi="MyriadPro-Regular" w:cs="MyriadPro-Regular"/>
                <w:sz w:val="22"/>
                <w:szCs w:val="22"/>
                <w:lang w:eastAsia="en-US"/>
              </w:rPr>
              <w:t xml:space="preserve">s operačním programem, LCD monitor min. 22“, min. 8 GB RAM, SSD min. 500GB, klávesnice, min. Windows 10 </w:t>
            </w:r>
            <w:proofErr w:type="gramStart"/>
            <w:r>
              <w:rPr>
                <w:rFonts w:ascii="MyriadPro-Regular" w:eastAsiaTheme="minorHAnsi" w:hAnsi="MyriadPro-Regular" w:cs="MyriadPro-Regular"/>
                <w:sz w:val="22"/>
                <w:szCs w:val="22"/>
                <w:lang w:eastAsia="en-US"/>
              </w:rPr>
              <w:t>Pro,  černobílá</w:t>
            </w:r>
            <w:proofErr w:type="gramEnd"/>
            <w:r>
              <w:rPr>
                <w:rFonts w:ascii="MyriadPro-Regular" w:eastAsiaTheme="minorHAnsi" w:hAnsi="MyriadPro-Regular" w:cs="MyriadPro-Regular"/>
                <w:sz w:val="22"/>
                <w:szCs w:val="22"/>
                <w:lang w:eastAsia="en-US"/>
              </w:rPr>
              <w:t xml:space="preserve"> nebo barevná laserová tiskárna, externí pevný disk pro zálohování dat vč. licence</w:t>
            </w:r>
          </w:p>
        </w:tc>
        <w:tc>
          <w:tcPr>
            <w:tcW w:w="1559" w:type="dxa"/>
            <w:hideMark/>
          </w:tcPr>
          <w:p w14:paraId="7666810A"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55715F28"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5520ABBD" w14:textId="77777777" w:rsidTr="000328BA">
        <w:trPr>
          <w:trHeight w:val="551"/>
        </w:trPr>
        <w:tc>
          <w:tcPr>
            <w:tcW w:w="5100" w:type="dxa"/>
            <w:hideMark/>
          </w:tcPr>
          <w:p w14:paraId="6997013F" w14:textId="77777777" w:rsidR="000328BA" w:rsidRDefault="000328BA" w:rsidP="000328BA">
            <w:pPr>
              <w:autoSpaceDE w:val="0"/>
              <w:autoSpaceDN w:val="0"/>
              <w:adjustRightInd w:val="0"/>
              <w:rPr>
                <w:rFonts w:ascii="MyriadPro-Regular" w:eastAsiaTheme="minorHAnsi" w:hAnsi="MyriadPro-Regular" w:cs="MyriadPro-Regular"/>
                <w:sz w:val="22"/>
                <w:lang w:eastAsia="en-US"/>
              </w:rPr>
            </w:pPr>
            <w:r>
              <w:rPr>
                <w:rFonts w:ascii="MyriadPro-Regular" w:eastAsia="FreeSans" w:hAnsi="MyriadPro-Regular" w:cs="FreeSans"/>
                <w:sz w:val="22"/>
                <w:szCs w:val="22"/>
                <w:lang w:eastAsia="en-US"/>
              </w:rPr>
              <w:t>modul evokovaných potenciálů – SEP</w:t>
            </w:r>
          </w:p>
        </w:tc>
        <w:tc>
          <w:tcPr>
            <w:tcW w:w="1559" w:type="dxa"/>
            <w:hideMark/>
          </w:tcPr>
          <w:p w14:paraId="6117C5FF"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6813A7FE"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77CAC7CF" w14:textId="77777777" w:rsidTr="000328BA">
        <w:trPr>
          <w:trHeight w:val="544"/>
        </w:trPr>
        <w:tc>
          <w:tcPr>
            <w:tcW w:w="5100" w:type="dxa"/>
            <w:hideMark/>
          </w:tcPr>
          <w:p w14:paraId="61696426" w14:textId="77777777" w:rsidR="000328BA" w:rsidRDefault="000328BA" w:rsidP="000328BA">
            <w:pPr>
              <w:autoSpaceDE w:val="0"/>
              <w:autoSpaceDN w:val="0"/>
              <w:adjustRightInd w:val="0"/>
              <w:rPr>
                <w:rFonts w:ascii="MyriadPro-Regular" w:eastAsia="FreeSans" w:hAnsi="MyriadPro-Regular" w:cs="FreeSans"/>
                <w:sz w:val="22"/>
                <w:lang w:eastAsia="en-US"/>
              </w:rPr>
            </w:pPr>
            <w:r>
              <w:rPr>
                <w:rFonts w:ascii="MyriadPro-Regular" w:eastAsiaTheme="minorHAnsi" w:hAnsi="MyriadPro-Regular" w:cs="MyriadPro-Regular"/>
                <w:sz w:val="22"/>
                <w:szCs w:val="22"/>
                <w:lang w:eastAsia="en-US"/>
              </w:rPr>
              <w:t>napájecí zdroj včetně bezpečnostního oddělovacího transformátoru</w:t>
            </w:r>
          </w:p>
        </w:tc>
        <w:tc>
          <w:tcPr>
            <w:tcW w:w="1559" w:type="dxa"/>
            <w:hideMark/>
          </w:tcPr>
          <w:p w14:paraId="2333F4A0"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hideMark/>
          </w:tcPr>
          <w:p w14:paraId="1B3C6A68" w14:textId="77777777"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118EADAA" w14:textId="77777777" w:rsidTr="000328BA">
        <w:trPr>
          <w:trHeight w:val="227"/>
        </w:trPr>
        <w:tc>
          <w:tcPr>
            <w:tcW w:w="9498" w:type="dxa"/>
            <w:gridSpan w:val="3"/>
            <w:shd w:val="clear" w:color="auto" w:fill="D9D9D9" w:themeFill="background1" w:themeFillShade="D9"/>
            <w:vAlign w:val="center"/>
          </w:tcPr>
          <w:p w14:paraId="751A6B2E" w14:textId="2B6F4D09" w:rsidR="000328BA" w:rsidRPr="000328BA" w:rsidRDefault="000328BA" w:rsidP="000328BA">
            <w:pPr>
              <w:rPr>
                <w:rFonts w:ascii="MyriadPro-Regular" w:eastAsiaTheme="minorHAnsi" w:hAnsi="MyriadPro-Regular" w:cs="MyriadPro-Regular"/>
                <w:b/>
                <w:bCs/>
                <w:sz w:val="22"/>
                <w:lang w:eastAsia="en-US"/>
              </w:rPr>
            </w:pPr>
            <w:r w:rsidRPr="000328BA">
              <w:rPr>
                <w:rFonts w:ascii="MyriadPro-Regular" w:eastAsiaTheme="minorHAnsi" w:hAnsi="MyriadPro-Regular" w:cs="MyriadPro-Regular"/>
                <w:b/>
                <w:bCs/>
                <w:sz w:val="22"/>
                <w:lang w:eastAsia="en-US"/>
              </w:rPr>
              <w:t>Součástí dodávky musí být:</w:t>
            </w:r>
          </w:p>
        </w:tc>
      </w:tr>
      <w:tr w:rsidR="000328BA" w14:paraId="08933964" w14:textId="77777777" w:rsidTr="000328BA">
        <w:trPr>
          <w:trHeight w:val="551"/>
        </w:trPr>
        <w:tc>
          <w:tcPr>
            <w:tcW w:w="5100" w:type="dxa"/>
          </w:tcPr>
          <w:p w14:paraId="2A0AA05D" w14:textId="77777777" w:rsidR="000328BA" w:rsidRDefault="000328BA" w:rsidP="000328BA">
            <w:pPr>
              <w:pStyle w:val="Odstavecseseznamem"/>
              <w:numPr>
                <w:ilvl w:val="0"/>
                <w:numId w:val="14"/>
              </w:numPr>
              <w:autoSpaceDE w:val="0"/>
              <w:autoSpaceDN w:val="0"/>
              <w:adjustRightInd w:val="0"/>
              <w:ind w:left="426"/>
              <w:rPr>
                <w:rFonts w:ascii="MyriadPro-Regular" w:eastAsiaTheme="minorHAnsi" w:hAnsi="MyriadPro-Regular" w:cs="MyriadPro-Regular"/>
                <w:b/>
                <w:bCs/>
                <w:sz w:val="22"/>
                <w:lang w:eastAsia="en-US"/>
              </w:rPr>
            </w:pPr>
            <w:r>
              <w:rPr>
                <w:rFonts w:ascii="MyriadPro-Regular" w:eastAsiaTheme="minorHAnsi" w:hAnsi="MyriadPro-Regular" w:cs="MyriadPro-Regular"/>
                <w:b/>
                <w:bCs/>
                <w:sz w:val="22"/>
                <w:szCs w:val="22"/>
                <w:lang w:eastAsia="en-US"/>
              </w:rPr>
              <w:t xml:space="preserve">startovací sada příslušenství: </w:t>
            </w:r>
          </w:p>
          <w:p w14:paraId="74B6E414" w14:textId="77777777" w:rsidR="000328BA" w:rsidRDefault="000328BA" w:rsidP="000328BA">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proofErr w:type="spellStart"/>
            <w:r>
              <w:rPr>
                <w:rFonts w:ascii="MyriadPro-Regular" w:eastAsiaTheme="minorHAnsi" w:hAnsi="MyriadPro-Regular" w:cs="MyriadPro-Regular"/>
                <w:sz w:val="22"/>
                <w:szCs w:val="22"/>
                <w:lang w:eastAsia="en-US"/>
              </w:rPr>
              <w:t>elektrovodivý</w:t>
            </w:r>
            <w:proofErr w:type="spellEnd"/>
            <w:r>
              <w:rPr>
                <w:rFonts w:ascii="MyriadPro-Regular" w:eastAsiaTheme="minorHAnsi" w:hAnsi="MyriadPro-Regular" w:cs="MyriadPro-Regular"/>
                <w:sz w:val="22"/>
                <w:szCs w:val="22"/>
                <w:lang w:eastAsia="en-US"/>
              </w:rPr>
              <w:t xml:space="preserve"> </w:t>
            </w:r>
            <w:proofErr w:type="spellStart"/>
            <w:r>
              <w:rPr>
                <w:rFonts w:ascii="MyriadPro-Regular" w:eastAsiaTheme="minorHAnsi" w:hAnsi="MyriadPro-Regular" w:cs="MyriadPro-Regular"/>
                <w:sz w:val="22"/>
                <w:szCs w:val="22"/>
                <w:lang w:eastAsia="en-US"/>
              </w:rPr>
              <w:t>gél</w:t>
            </w:r>
            <w:proofErr w:type="spellEnd"/>
            <w:r>
              <w:rPr>
                <w:rFonts w:ascii="MyriadPro-Regular" w:eastAsiaTheme="minorHAnsi" w:hAnsi="MyriadPro-Regular" w:cs="MyriadPro-Regular"/>
                <w:sz w:val="22"/>
                <w:szCs w:val="22"/>
                <w:lang w:eastAsia="en-US"/>
              </w:rPr>
              <w:t xml:space="preserve"> (min. </w:t>
            </w:r>
            <w:proofErr w:type="gramStart"/>
            <w:r>
              <w:rPr>
                <w:rFonts w:ascii="MyriadPro-Regular" w:eastAsiaTheme="minorHAnsi" w:hAnsi="MyriadPro-Regular" w:cs="MyriadPro-Regular"/>
                <w:sz w:val="22"/>
                <w:szCs w:val="22"/>
                <w:lang w:eastAsia="en-US"/>
              </w:rPr>
              <w:t>1l</w:t>
            </w:r>
            <w:proofErr w:type="gramEnd"/>
            <w:r>
              <w:rPr>
                <w:rFonts w:ascii="MyriadPro-Regular" w:eastAsiaTheme="minorHAnsi" w:hAnsi="MyriadPro-Regular" w:cs="MyriadPro-Regular"/>
                <w:sz w:val="22"/>
                <w:szCs w:val="22"/>
                <w:lang w:eastAsia="en-US"/>
              </w:rPr>
              <w:t xml:space="preserve">) vč. sady pro aplikaci, (stříkačky, tupé jehly…) </w:t>
            </w:r>
          </w:p>
          <w:p w14:paraId="2758BA5E" w14:textId="77777777" w:rsidR="000328BA" w:rsidRDefault="000328BA" w:rsidP="000328BA">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2 x hrudní pás min. 120 cm</w:t>
            </w:r>
          </w:p>
          <w:p w14:paraId="11F27F98" w14:textId="77777777" w:rsidR="000328BA" w:rsidRDefault="000328BA" w:rsidP="000328BA">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2 páry ušních elektrod </w:t>
            </w:r>
          </w:p>
          <w:p w14:paraId="1F159CB9" w14:textId="77777777" w:rsidR="000328BA" w:rsidRDefault="000328BA" w:rsidP="000328BA">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2 x EEG čepice </w:t>
            </w:r>
          </w:p>
          <w:p w14:paraId="1B2A2905" w14:textId="77777777" w:rsidR="000328BA" w:rsidRDefault="000328BA" w:rsidP="000328BA">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3ks překlenovacích elektrod k EEG čepici</w:t>
            </w:r>
          </w:p>
          <w:p w14:paraId="3B74670E" w14:textId="77777777" w:rsidR="000328BA" w:rsidRDefault="000328BA" w:rsidP="000328BA">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redukce pro připojení EEG čepice</w:t>
            </w:r>
          </w:p>
          <w:p w14:paraId="5F7A4656" w14:textId="77777777" w:rsidR="00B02141" w:rsidRPr="00B02141" w:rsidRDefault="000328BA" w:rsidP="00B02141">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EKG elektroda pásková červená a žlutá</w:t>
            </w:r>
          </w:p>
          <w:p w14:paraId="63BAAD8C" w14:textId="0029D26D" w:rsidR="000328BA" w:rsidRPr="00B02141" w:rsidRDefault="000328BA" w:rsidP="00B02141">
            <w:pPr>
              <w:pStyle w:val="Odstavecseseznamem"/>
              <w:numPr>
                <w:ilvl w:val="1"/>
                <w:numId w:val="14"/>
              </w:numPr>
              <w:autoSpaceDE w:val="0"/>
              <w:autoSpaceDN w:val="0"/>
              <w:adjustRightInd w:val="0"/>
              <w:ind w:left="567"/>
              <w:rPr>
                <w:rFonts w:ascii="MyriadPro-Regular" w:eastAsiaTheme="minorHAnsi" w:hAnsi="MyriadPro-Regular" w:cs="MyriadPro-Regular"/>
                <w:sz w:val="22"/>
                <w:lang w:eastAsia="en-US"/>
              </w:rPr>
            </w:pPr>
            <w:r w:rsidRPr="00B02141">
              <w:rPr>
                <w:rFonts w:ascii="MyriadPro-Regular" w:eastAsiaTheme="minorHAnsi" w:hAnsi="MyriadPro-Regular" w:cs="MyriadPro-Regular"/>
                <w:sz w:val="22"/>
                <w:szCs w:val="22"/>
                <w:lang w:eastAsia="en-US"/>
              </w:rPr>
              <w:t xml:space="preserve">Prací prostředek na EEG čepice (min. </w:t>
            </w:r>
            <w:proofErr w:type="gramStart"/>
            <w:r w:rsidRPr="00B02141">
              <w:rPr>
                <w:rFonts w:ascii="MyriadPro-Regular" w:eastAsiaTheme="minorHAnsi" w:hAnsi="MyriadPro-Regular" w:cs="MyriadPro-Regular"/>
                <w:sz w:val="22"/>
                <w:szCs w:val="22"/>
                <w:lang w:eastAsia="en-US"/>
              </w:rPr>
              <w:t>2l</w:t>
            </w:r>
            <w:proofErr w:type="gramEnd"/>
            <w:r w:rsidRPr="00B02141">
              <w:rPr>
                <w:rFonts w:ascii="MyriadPro-Regular" w:eastAsiaTheme="minorHAnsi" w:hAnsi="MyriadPro-Regular" w:cs="MyriadPro-Regular"/>
                <w:sz w:val="22"/>
                <w:szCs w:val="22"/>
                <w:lang w:eastAsia="en-US"/>
              </w:rPr>
              <w:t>)</w:t>
            </w:r>
          </w:p>
        </w:tc>
        <w:tc>
          <w:tcPr>
            <w:tcW w:w="1559" w:type="dxa"/>
          </w:tcPr>
          <w:p w14:paraId="0BA0CD3F" w14:textId="37F84529"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9" w:type="dxa"/>
          </w:tcPr>
          <w:p w14:paraId="32EEA741" w14:textId="4A820C5D" w:rsidR="000328BA" w:rsidRDefault="000328BA" w:rsidP="000328B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328BA" w14:paraId="61B51649" w14:textId="77777777" w:rsidTr="000328BA">
        <w:trPr>
          <w:trHeight w:val="551"/>
        </w:trPr>
        <w:tc>
          <w:tcPr>
            <w:tcW w:w="5100" w:type="dxa"/>
          </w:tcPr>
          <w:p w14:paraId="7B24E4D4" w14:textId="77777777" w:rsidR="000328BA" w:rsidRDefault="000328BA" w:rsidP="000328BA">
            <w:pPr>
              <w:pStyle w:val="Odstavecseseznamem"/>
              <w:numPr>
                <w:ilvl w:val="0"/>
                <w:numId w:val="14"/>
              </w:numPr>
              <w:autoSpaceDE w:val="0"/>
              <w:autoSpaceDN w:val="0"/>
              <w:adjustRightInd w:val="0"/>
              <w:ind w:left="426"/>
              <w:rPr>
                <w:rFonts w:ascii="MyriadPro-Regular" w:eastAsiaTheme="minorHAnsi" w:hAnsi="MyriadPro-Regular" w:cs="MyriadPro-Regular"/>
                <w:b/>
                <w:bCs/>
                <w:sz w:val="22"/>
                <w:lang w:eastAsia="en-US"/>
              </w:rPr>
            </w:pPr>
            <w:r>
              <w:rPr>
                <w:rFonts w:ascii="MyriadPro-Regular" w:eastAsiaTheme="minorHAnsi" w:hAnsi="MyriadPro-Regular" w:cs="MyriadPro-Regular"/>
                <w:b/>
                <w:bCs/>
                <w:sz w:val="22"/>
                <w:szCs w:val="22"/>
                <w:lang w:eastAsia="en-US"/>
              </w:rPr>
              <w:lastRenderedPageBreak/>
              <w:t xml:space="preserve">EEG čepice: </w:t>
            </w:r>
          </w:p>
          <w:p w14:paraId="516B91F3" w14:textId="77777777" w:rsidR="000328BA" w:rsidRDefault="000328BA" w:rsidP="000328BA">
            <w:pPr>
              <w:pStyle w:val="Odstavecseseznamem"/>
              <w:numPr>
                <w:ilvl w:val="0"/>
                <w:numId w:val="15"/>
              </w:num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kojenecká čepice s 19 </w:t>
            </w:r>
            <w:proofErr w:type="gramStart"/>
            <w:r>
              <w:rPr>
                <w:rFonts w:ascii="MyriadPro-Regular" w:eastAsiaTheme="minorHAnsi" w:hAnsi="MyriadPro-Regular" w:cs="MyriadPro-Regular"/>
                <w:sz w:val="22"/>
                <w:szCs w:val="22"/>
                <w:lang w:eastAsia="en-US"/>
              </w:rPr>
              <w:t>elektrodami,  vhodná</w:t>
            </w:r>
            <w:proofErr w:type="gramEnd"/>
            <w:r>
              <w:rPr>
                <w:rFonts w:ascii="MyriadPro-Regular" w:eastAsiaTheme="minorHAnsi" w:hAnsi="MyriadPro-Regular" w:cs="MyriadPro-Regular"/>
                <w:sz w:val="22"/>
                <w:szCs w:val="22"/>
                <w:lang w:eastAsia="en-US"/>
              </w:rPr>
              <w:t xml:space="preserve"> pro kojence a batolata mezi 9-12 měsícem: </w:t>
            </w:r>
          </w:p>
          <w:p w14:paraId="26CAF7B6" w14:textId="77777777" w:rsidR="000328BA" w:rsidRDefault="000328BA" w:rsidP="000328BA">
            <w:pPr>
              <w:pStyle w:val="Odstavecseseznamem"/>
              <w:numPr>
                <w:ilvl w:val="2"/>
                <w:numId w:val="14"/>
              </w:numPr>
              <w:autoSpaceDE w:val="0"/>
              <w:autoSpaceDN w:val="0"/>
              <w:adjustRightInd w:val="0"/>
              <w:ind w:left="1134"/>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3x ve velikosti </w:t>
            </w:r>
            <w:proofErr w:type="gramStart"/>
            <w:r>
              <w:rPr>
                <w:rFonts w:ascii="MyriadPro-Regular" w:eastAsiaTheme="minorHAnsi" w:hAnsi="MyriadPro-Regular" w:cs="MyriadPro-Regular"/>
                <w:sz w:val="22"/>
                <w:szCs w:val="22"/>
                <w:lang w:eastAsia="en-US"/>
              </w:rPr>
              <w:t>32-39cm</w:t>
            </w:r>
            <w:proofErr w:type="gramEnd"/>
            <w:r>
              <w:rPr>
                <w:rFonts w:ascii="MyriadPro-Regular" w:eastAsiaTheme="minorHAnsi" w:hAnsi="MyriadPro-Regular" w:cs="MyriadPro-Regular"/>
                <w:sz w:val="22"/>
                <w:szCs w:val="22"/>
                <w:lang w:eastAsia="en-US"/>
              </w:rPr>
              <w:t xml:space="preserve">, </w:t>
            </w:r>
          </w:p>
          <w:p w14:paraId="538DD230" w14:textId="77777777" w:rsidR="000328BA" w:rsidRDefault="000328BA" w:rsidP="000328BA">
            <w:pPr>
              <w:pStyle w:val="Odstavecseseznamem"/>
              <w:numPr>
                <w:ilvl w:val="2"/>
                <w:numId w:val="14"/>
              </w:numPr>
              <w:autoSpaceDE w:val="0"/>
              <w:autoSpaceDN w:val="0"/>
              <w:adjustRightInd w:val="0"/>
              <w:ind w:left="1134"/>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3 x ve velikosti </w:t>
            </w:r>
            <w:proofErr w:type="gramStart"/>
            <w:r>
              <w:rPr>
                <w:rFonts w:ascii="MyriadPro-Regular" w:eastAsiaTheme="minorHAnsi" w:hAnsi="MyriadPro-Regular" w:cs="MyriadPro-Regular"/>
                <w:sz w:val="22"/>
                <w:szCs w:val="22"/>
                <w:lang w:eastAsia="en-US"/>
              </w:rPr>
              <w:t>39-43cm</w:t>
            </w:r>
            <w:proofErr w:type="gramEnd"/>
            <w:r>
              <w:rPr>
                <w:rFonts w:ascii="MyriadPro-Regular" w:eastAsiaTheme="minorHAnsi" w:hAnsi="MyriadPro-Regular" w:cs="MyriadPro-Regular"/>
                <w:sz w:val="22"/>
                <w:szCs w:val="22"/>
                <w:lang w:eastAsia="en-US"/>
              </w:rPr>
              <w:t xml:space="preserve">, </w:t>
            </w:r>
          </w:p>
          <w:p w14:paraId="02C569D0" w14:textId="77777777" w:rsidR="000328BA" w:rsidRDefault="000328BA" w:rsidP="000328BA">
            <w:pPr>
              <w:pStyle w:val="Odstavecseseznamem"/>
              <w:numPr>
                <w:ilvl w:val="2"/>
                <w:numId w:val="14"/>
              </w:numPr>
              <w:autoSpaceDE w:val="0"/>
              <w:autoSpaceDN w:val="0"/>
              <w:adjustRightInd w:val="0"/>
              <w:ind w:left="1134"/>
              <w:rPr>
                <w:rFonts w:ascii="MyriadPro-Regular" w:eastAsiaTheme="minorHAnsi" w:hAnsi="MyriadPro-Regular" w:cs="MyriadPro-Regular"/>
                <w:b/>
                <w:bCs/>
                <w:sz w:val="22"/>
                <w:lang w:eastAsia="en-US"/>
              </w:rPr>
            </w:pPr>
            <w:r>
              <w:rPr>
                <w:rFonts w:ascii="MyriadPro-Regular" w:eastAsiaTheme="minorHAnsi" w:hAnsi="MyriadPro-Regular" w:cs="MyriadPro-Regular"/>
                <w:sz w:val="22"/>
                <w:szCs w:val="22"/>
                <w:lang w:eastAsia="en-US"/>
              </w:rPr>
              <w:t xml:space="preserve">3 x ve velikosti </w:t>
            </w:r>
            <w:proofErr w:type="gramStart"/>
            <w:r>
              <w:rPr>
                <w:rFonts w:ascii="MyriadPro-Regular" w:eastAsiaTheme="minorHAnsi" w:hAnsi="MyriadPro-Regular" w:cs="MyriadPro-Regular"/>
                <w:sz w:val="22"/>
                <w:szCs w:val="22"/>
                <w:lang w:eastAsia="en-US"/>
              </w:rPr>
              <w:t>43-47cm</w:t>
            </w:r>
            <w:proofErr w:type="gramEnd"/>
            <w:r>
              <w:rPr>
                <w:rFonts w:ascii="MyriadPro-Regular" w:eastAsiaTheme="minorHAnsi" w:hAnsi="MyriadPro-Regular" w:cs="MyriadPro-Regular"/>
                <w:sz w:val="22"/>
                <w:szCs w:val="22"/>
                <w:lang w:eastAsia="en-US"/>
              </w:rPr>
              <w:t>.</w:t>
            </w:r>
          </w:p>
          <w:p w14:paraId="6A78F307" w14:textId="77777777" w:rsidR="000328BA" w:rsidRDefault="000328BA" w:rsidP="000328BA">
            <w:pPr>
              <w:pStyle w:val="Odstavecseseznamem"/>
              <w:numPr>
                <w:ilvl w:val="0"/>
                <w:numId w:val="16"/>
              </w:numPr>
              <w:autoSpaceDE w:val="0"/>
              <w:autoSpaceDN w:val="0"/>
              <w:adjustRightInd w:val="0"/>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čepice s 19 aktivními cínovými elektrodami, referenční ušní a zemnící elektrodou:</w:t>
            </w:r>
          </w:p>
          <w:p w14:paraId="3D1042AA" w14:textId="77777777" w:rsidR="000328BA" w:rsidRDefault="000328BA" w:rsidP="000328BA">
            <w:pPr>
              <w:pStyle w:val="Odstavecseseznamem"/>
              <w:numPr>
                <w:ilvl w:val="0"/>
                <w:numId w:val="17"/>
              </w:numPr>
              <w:autoSpaceDE w:val="0"/>
              <w:autoSpaceDN w:val="0"/>
              <w:adjustRightInd w:val="0"/>
              <w:ind w:left="1134"/>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6x ve velikosti </w:t>
            </w:r>
            <w:proofErr w:type="gramStart"/>
            <w:r>
              <w:rPr>
                <w:rFonts w:ascii="MyriadPro-Regular" w:eastAsiaTheme="minorHAnsi" w:hAnsi="MyriadPro-Regular" w:cs="MyriadPro-Regular"/>
                <w:sz w:val="22"/>
                <w:szCs w:val="22"/>
                <w:lang w:eastAsia="en-US"/>
              </w:rPr>
              <w:t>47-51cm</w:t>
            </w:r>
            <w:proofErr w:type="gramEnd"/>
            <w:r>
              <w:rPr>
                <w:rFonts w:ascii="MyriadPro-Regular" w:eastAsiaTheme="minorHAnsi" w:hAnsi="MyriadPro-Regular" w:cs="MyriadPro-Regular"/>
                <w:sz w:val="22"/>
                <w:szCs w:val="22"/>
                <w:lang w:eastAsia="en-US"/>
              </w:rPr>
              <w:t xml:space="preserve">, </w:t>
            </w:r>
          </w:p>
          <w:p w14:paraId="33DA4C8D" w14:textId="77777777" w:rsidR="000328BA" w:rsidRDefault="000328BA" w:rsidP="000328BA">
            <w:pPr>
              <w:pStyle w:val="Odstavecseseznamem"/>
              <w:numPr>
                <w:ilvl w:val="0"/>
                <w:numId w:val="17"/>
              </w:numPr>
              <w:autoSpaceDE w:val="0"/>
              <w:autoSpaceDN w:val="0"/>
              <w:adjustRightInd w:val="0"/>
              <w:ind w:left="1134"/>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6x ve velikosti </w:t>
            </w:r>
            <w:proofErr w:type="gramStart"/>
            <w:r>
              <w:rPr>
                <w:rFonts w:ascii="MyriadPro-Regular" w:eastAsiaTheme="minorHAnsi" w:hAnsi="MyriadPro-Regular" w:cs="MyriadPro-Regular"/>
                <w:sz w:val="22"/>
                <w:szCs w:val="22"/>
                <w:lang w:eastAsia="en-US"/>
              </w:rPr>
              <w:t>51-55cm</w:t>
            </w:r>
            <w:proofErr w:type="gramEnd"/>
            <w:r>
              <w:rPr>
                <w:rFonts w:ascii="MyriadPro-Regular" w:eastAsiaTheme="minorHAnsi" w:hAnsi="MyriadPro-Regular" w:cs="MyriadPro-Regular"/>
                <w:sz w:val="22"/>
                <w:szCs w:val="22"/>
                <w:lang w:eastAsia="en-US"/>
              </w:rPr>
              <w:t xml:space="preserve">, </w:t>
            </w:r>
          </w:p>
          <w:p w14:paraId="436E326E" w14:textId="77777777" w:rsidR="00B02141" w:rsidRPr="00B02141" w:rsidRDefault="000328BA" w:rsidP="00B02141">
            <w:pPr>
              <w:pStyle w:val="Odstavecseseznamem"/>
              <w:numPr>
                <w:ilvl w:val="0"/>
                <w:numId w:val="17"/>
              </w:numPr>
              <w:autoSpaceDE w:val="0"/>
              <w:autoSpaceDN w:val="0"/>
              <w:adjustRightInd w:val="0"/>
              <w:ind w:left="1134"/>
              <w:rPr>
                <w:rFonts w:ascii="MyriadPro-Regular" w:eastAsiaTheme="minorHAnsi" w:hAnsi="MyriadPro-Regular" w:cs="MyriadPro-Regular"/>
                <w:sz w:val="22"/>
                <w:lang w:eastAsia="en-US"/>
              </w:rPr>
            </w:pPr>
            <w:r>
              <w:rPr>
                <w:rFonts w:ascii="MyriadPro-Regular" w:eastAsiaTheme="minorHAnsi" w:hAnsi="MyriadPro-Regular" w:cs="MyriadPro-Regular"/>
                <w:sz w:val="22"/>
                <w:szCs w:val="22"/>
                <w:lang w:eastAsia="en-US"/>
              </w:rPr>
              <w:t xml:space="preserve">3x ve velikosti </w:t>
            </w:r>
            <w:proofErr w:type="gramStart"/>
            <w:r>
              <w:rPr>
                <w:rFonts w:ascii="MyriadPro-Regular" w:eastAsiaTheme="minorHAnsi" w:hAnsi="MyriadPro-Regular" w:cs="MyriadPro-Regular"/>
                <w:sz w:val="22"/>
                <w:szCs w:val="22"/>
                <w:lang w:eastAsia="en-US"/>
              </w:rPr>
              <w:t>55-59cm</w:t>
            </w:r>
            <w:proofErr w:type="gramEnd"/>
            <w:r>
              <w:rPr>
                <w:rFonts w:ascii="MyriadPro-Regular" w:eastAsiaTheme="minorHAnsi" w:hAnsi="MyriadPro-Regular" w:cs="MyriadPro-Regular"/>
                <w:sz w:val="22"/>
                <w:szCs w:val="22"/>
                <w:lang w:eastAsia="en-US"/>
              </w:rPr>
              <w:t>,</w:t>
            </w:r>
          </w:p>
          <w:p w14:paraId="1411EF95" w14:textId="5E5D7C16" w:rsidR="000328BA" w:rsidRPr="00B02141" w:rsidRDefault="000328BA" w:rsidP="00B02141">
            <w:pPr>
              <w:pStyle w:val="Odstavecseseznamem"/>
              <w:numPr>
                <w:ilvl w:val="0"/>
                <w:numId w:val="17"/>
              </w:numPr>
              <w:autoSpaceDE w:val="0"/>
              <w:autoSpaceDN w:val="0"/>
              <w:adjustRightInd w:val="0"/>
              <w:ind w:left="1134"/>
              <w:rPr>
                <w:rFonts w:ascii="MyriadPro-Regular" w:eastAsiaTheme="minorHAnsi" w:hAnsi="MyriadPro-Regular" w:cs="MyriadPro-Regular"/>
                <w:sz w:val="22"/>
                <w:lang w:eastAsia="en-US"/>
              </w:rPr>
            </w:pPr>
            <w:r w:rsidRPr="00B02141">
              <w:rPr>
                <w:rFonts w:ascii="MyriadPro-Regular" w:eastAsiaTheme="minorHAnsi" w:hAnsi="MyriadPro-Regular" w:cs="MyriadPro-Regular"/>
                <w:sz w:val="22"/>
                <w:szCs w:val="22"/>
                <w:lang w:eastAsia="en-US"/>
              </w:rPr>
              <w:t>3x ve velikosti 59-63 cm.</w:t>
            </w:r>
          </w:p>
        </w:tc>
        <w:tc>
          <w:tcPr>
            <w:tcW w:w="1559" w:type="dxa"/>
          </w:tcPr>
          <w:p w14:paraId="0F20D344" w14:textId="77777777" w:rsidR="000328BA" w:rsidRDefault="000328BA" w:rsidP="000328BA">
            <w:pPr>
              <w:jc w:val="center"/>
              <w:rPr>
                <w:rFonts w:ascii="Calibri" w:hAnsi="Calibri" w:cs="Calibri"/>
                <w:color w:val="FF0000"/>
                <w:szCs w:val="20"/>
                <w:lang w:eastAsia="en-US"/>
              </w:rPr>
            </w:pPr>
          </w:p>
        </w:tc>
        <w:tc>
          <w:tcPr>
            <w:tcW w:w="2839" w:type="dxa"/>
          </w:tcPr>
          <w:p w14:paraId="79558AA7" w14:textId="77777777" w:rsidR="000328BA" w:rsidRDefault="000328BA" w:rsidP="000328BA">
            <w:pPr>
              <w:jc w:val="center"/>
              <w:rPr>
                <w:rFonts w:ascii="Calibri" w:hAnsi="Calibri" w:cs="Calibri"/>
                <w:color w:val="FF0000"/>
                <w:szCs w:val="20"/>
                <w:lang w:eastAsia="en-US"/>
              </w:rPr>
            </w:pPr>
          </w:p>
        </w:tc>
      </w:tr>
    </w:tbl>
    <w:p w14:paraId="1EA81C1F" w14:textId="161EBEA4" w:rsidR="00396BD9" w:rsidRDefault="000328BA" w:rsidP="00396BD9">
      <w:pPr>
        <w:rPr>
          <w:lang w:eastAsia="en-US"/>
        </w:rPr>
      </w:pPr>
      <w:r>
        <w:rPr>
          <w:lang w:eastAsia="en-US"/>
        </w:rPr>
        <w:br w:type="textWrapping" w:clear="all"/>
      </w:r>
    </w:p>
    <w:p w14:paraId="15227024" w14:textId="1554C50C" w:rsidR="003B23B1" w:rsidRDefault="003B23B1" w:rsidP="0022197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Default="000518E2" w:rsidP="000518E2">
      <w:pPr>
        <w:rPr>
          <w:lang w:eastAsia="en-US"/>
        </w:rPr>
      </w:pPr>
    </w:p>
    <w:p w14:paraId="6C574F04" w14:textId="77777777" w:rsidR="00221970" w:rsidRDefault="00221970" w:rsidP="000518E2">
      <w:pPr>
        <w:rPr>
          <w:lang w:eastAsia="en-US"/>
        </w:rPr>
      </w:pPr>
    </w:p>
    <w:p w14:paraId="661D8F48" w14:textId="77777777" w:rsidR="00221970" w:rsidRPr="000518E2" w:rsidRDefault="00221970" w:rsidP="000518E2">
      <w:pPr>
        <w:rPr>
          <w:lang w:eastAsia="en-US"/>
        </w:rPr>
      </w:pPr>
    </w:p>
    <w:p w14:paraId="4F73BA24" w14:textId="77777777" w:rsidR="0067782F" w:rsidRPr="0067782F" w:rsidRDefault="0067782F" w:rsidP="0067782F">
      <w:pPr>
        <w:rPr>
          <w:lang w:eastAsia="en-US"/>
        </w:rPr>
      </w:pPr>
    </w:p>
    <w:p w14:paraId="537E6B18" w14:textId="33DF60C5" w:rsidR="00FE0B17" w:rsidRDefault="00FE0B17"/>
    <w:p w14:paraId="1B90325F" w14:textId="77777777" w:rsidR="00FE0B17" w:rsidRDefault="00FE0B17"/>
    <w:sectPr w:rsidR="00FE0B17">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altName w:val="Calibri"/>
    <w:panose1 w:val="00000000000000000000"/>
    <w:charset w:val="00"/>
    <w:family w:val="swiss"/>
    <w:notTrueType/>
    <w:pitch w:val="default"/>
    <w:sig w:usb0="00000003" w:usb1="00000000" w:usb2="00000000" w:usb3="00000000" w:csb0="00000001" w:csb1="00000000"/>
  </w:font>
  <w:font w:name="FreeSansOblique">
    <w:altName w:val="Calibri"/>
    <w:panose1 w:val="00000000000000000000"/>
    <w:charset w:val="EE"/>
    <w:family w:val="auto"/>
    <w:notTrueType/>
    <w:pitch w:val="default"/>
    <w:sig w:usb0="00000005" w:usb1="00000000" w:usb2="00000000" w:usb3="00000000" w:csb0="00000002" w:csb1="00000000"/>
  </w:font>
  <w:font w:name="FreeSan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F5BB6" w14:textId="77777777" w:rsidR="008D614B" w:rsidRDefault="008D61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F5267" w14:textId="77777777" w:rsidR="008D614B" w:rsidRDefault="008D61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17000" w14:textId="77777777" w:rsidR="008D614B" w:rsidRDefault="008D61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9087" w14:textId="77777777" w:rsidR="008D614B" w:rsidRDefault="008D614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518E2"/>
    <w:rsid w:val="000661BD"/>
    <w:rsid w:val="0010777A"/>
    <w:rsid w:val="00156E75"/>
    <w:rsid w:val="00160D1F"/>
    <w:rsid w:val="00206EEE"/>
    <w:rsid w:val="00221970"/>
    <w:rsid w:val="002815D7"/>
    <w:rsid w:val="00316073"/>
    <w:rsid w:val="00345782"/>
    <w:rsid w:val="00395CE7"/>
    <w:rsid w:val="00396BD9"/>
    <w:rsid w:val="003B23B1"/>
    <w:rsid w:val="003B5F92"/>
    <w:rsid w:val="00423DD3"/>
    <w:rsid w:val="0056587D"/>
    <w:rsid w:val="0067782F"/>
    <w:rsid w:val="00684C90"/>
    <w:rsid w:val="006E27FD"/>
    <w:rsid w:val="00702EA9"/>
    <w:rsid w:val="00744CD0"/>
    <w:rsid w:val="00894DD4"/>
    <w:rsid w:val="008A6C6A"/>
    <w:rsid w:val="008C2E14"/>
    <w:rsid w:val="008D614B"/>
    <w:rsid w:val="00940CC3"/>
    <w:rsid w:val="00940F64"/>
    <w:rsid w:val="00A339C9"/>
    <w:rsid w:val="00A67946"/>
    <w:rsid w:val="00A844D8"/>
    <w:rsid w:val="00AF4029"/>
    <w:rsid w:val="00B02141"/>
    <w:rsid w:val="00B94A1B"/>
    <w:rsid w:val="00D30FA3"/>
    <w:rsid w:val="00D6618C"/>
    <w:rsid w:val="00D972EA"/>
    <w:rsid w:val="00DC048D"/>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3</Pages>
  <Words>715</Words>
  <Characters>4219</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78</cp:revision>
  <dcterms:created xsi:type="dcterms:W3CDTF">2021-02-25T06:14:00Z</dcterms:created>
  <dcterms:modified xsi:type="dcterms:W3CDTF">2023-09-05T13:17:00Z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